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C024120">
      <w:pPr>
        <w:jc w:val="center"/>
        <w:rPr>
          <w:rFonts w:hint="eastAsia" w:ascii="华文中宋" w:hAnsi="华文中宋" w:eastAsia="华文中宋"/>
          <w:sz w:val="32"/>
          <w:szCs w:val="32"/>
        </w:rPr>
      </w:pPr>
      <w:r>
        <w:rPr>
          <w:rFonts w:hint="eastAsia" w:ascii="华文中宋" w:hAnsi="华文中宋" w:eastAsia="华文中宋"/>
          <w:sz w:val="32"/>
          <w:szCs w:val="32"/>
        </w:rPr>
        <w:t>辽宁大学2026年招收攻读博士学位研究生(普通招考方式)</w:t>
      </w:r>
    </w:p>
    <w:p w14:paraId="6E901427">
      <w:pPr>
        <w:jc w:val="center"/>
        <w:rPr>
          <w:rFonts w:hint="eastAsia" w:ascii="华文中宋" w:hAnsi="华文中宋" w:eastAsia="华文中宋"/>
          <w:sz w:val="32"/>
          <w:szCs w:val="32"/>
        </w:rPr>
      </w:pPr>
      <w:r>
        <w:rPr>
          <w:rFonts w:hint="eastAsia" w:ascii="华文中宋" w:hAnsi="华文中宋" w:eastAsia="华文中宋"/>
          <w:sz w:val="32"/>
          <w:szCs w:val="32"/>
        </w:rPr>
        <w:t>初试科目考试大纲</w:t>
      </w:r>
    </w:p>
    <w:p w14:paraId="3948EBC9">
      <w:pPr>
        <w:rPr>
          <w:rFonts w:hint="eastAsia" w:ascii="仿宋" w:hAnsi="仿宋" w:eastAsia="仿宋"/>
          <w:sz w:val="28"/>
          <w:szCs w:val="28"/>
        </w:rPr>
      </w:pPr>
    </w:p>
    <w:p w14:paraId="16578E94">
      <w:pPr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科目代码：</w:t>
      </w:r>
      <w:r>
        <w:rPr>
          <w:rFonts w:ascii="仿宋" w:hAnsi="仿宋" w:eastAsia="仿宋"/>
          <w:sz w:val="28"/>
          <w:szCs w:val="28"/>
        </w:rPr>
        <w:t>3008</w:t>
      </w:r>
    </w:p>
    <w:p w14:paraId="3C945099">
      <w:pPr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科目名称：国民经济学基础理论</w:t>
      </w:r>
    </w:p>
    <w:p w14:paraId="2220BC18">
      <w:pPr>
        <w:rPr>
          <w:rFonts w:hint="eastAsia" w:ascii="仿宋" w:hAnsi="仿宋" w:eastAsia="仿宋"/>
          <w:sz w:val="28"/>
          <w:szCs w:val="28"/>
        </w:rPr>
      </w:pPr>
      <w:r>
        <w:rPr>
          <w:rFonts w:hint="eastAsia" w:ascii="仿宋" w:hAnsi="仿宋" w:eastAsia="仿宋"/>
          <w:sz w:val="28"/>
          <w:szCs w:val="28"/>
        </w:rPr>
        <w:t>满分：100分</w:t>
      </w:r>
    </w:p>
    <w:p w14:paraId="71215311">
      <w:pPr>
        <w:rPr>
          <w:rFonts w:hint="eastAsia" w:ascii="仿宋" w:hAnsi="仿宋" w:eastAsia="仿宋"/>
          <w:sz w:val="28"/>
          <w:szCs w:val="28"/>
        </w:rPr>
      </w:pPr>
      <w:bookmarkStart w:id="0" w:name="_GoBack"/>
      <w:bookmarkEnd w:id="0"/>
    </w:p>
    <w:p w14:paraId="35626DAC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一、习近平总书记关于国民经济战略、中长期发展规划、宏观经济治理现代化重要论述</w:t>
      </w:r>
    </w:p>
    <w:p w14:paraId="1C162A57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二、国民经济学的研究对象与方法</w:t>
      </w:r>
    </w:p>
    <w:p w14:paraId="196310B1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1.国民经济学的建立与发展</w:t>
      </w:r>
    </w:p>
    <w:p w14:paraId="08841BEA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2.国民经济学的研究对象</w:t>
      </w:r>
    </w:p>
    <w:p w14:paraId="4F2F89AB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3.国民经济学的研究方法</w:t>
      </w:r>
    </w:p>
    <w:p w14:paraId="6DC13EA8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三、国民经济系统概论</w:t>
      </w:r>
    </w:p>
    <w:p w14:paraId="298DB58F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1.国民经济系统的构成</w:t>
      </w:r>
    </w:p>
    <w:p w14:paraId="3C7AF29C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2.国民经济系统的性质</w:t>
      </w:r>
    </w:p>
    <w:p w14:paraId="53BA2556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3.国民经济系统的功能与运行机制</w:t>
      </w:r>
    </w:p>
    <w:p w14:paraId="273725D7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四、国民经济系统结构</w:t>
      </w:r>
    </w:p>
    <w:p w14:paraId="09B37B88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1.产业结构</w:t>
      </w:r>
    </w:p>
    <w:p w14:paraId="4596BC64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2.区域结构</w:t>
      </w:r>
    </w:p>
    <w:p w14:paraId="42C613B5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3.城乡结构</w:t>
      </w:r>
    </w:p>
    <w:p w14:paraId="43EED641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五、国民经济系统环境</w:t>
      </w:r>
    </w:p>
    <w:p w14:paraId="3C9E4ABD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1.经济、社会、人口、资源与环境总体协调的必要性</w:t>
      </w:r>
    </w:p>
    <w:p w14:paraId="1FA6074F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2.经济、社会、人口、资源环境系统的协调关系</w:t>
      </w:r>
    </w:p>
    <w:p w14:paraId="3F732296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3.国民经济系统与国际经济环境</w:t>
      </w:r>
    </w:p>
    <w:p w14:paraId="3F02B9DF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六、国民经济运行总体分析</w:t>
      </w:r>
    </w:p>
    <w:p w14:paraId="66A170A2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1.社会总产出与总供给</w:t>
      </w:r>
    </w:p>
    <w:p w14:paraId="5A6AE1C6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2.社会总需求及其形成</w:t>
      </w:r>
    </w:p>
    <w:p w14:paraId="51644A7C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3.社会总供求的平衡与波动</w:t>
      </w:r>
    </w:p>
    <w:p w14:paraId="0F8A63EC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七、国民经济运行的需求动力与需求管理</w:t>
      </w:r>
    </w:p>
    <w:p w14:paraId="4B28054A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1.投资需求与国民经济运行</w:t>
      </w:r>
    </w:p>
    <w:p w14:paraId="595FB655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2.消费需求与国民经济运行</w:t>
      </w:r>
    </w:p>
    <w:p w14:paraId="47E2BB89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3.净出口需求与国民经济运行</w:t>
      </w:r>
    </w:p>
    <w:p w14:paraId="60415CBF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4.国民经济需求管理</w:t>
      </w:r>
    </w:p>
    <w:p w14:paraId="468FED65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八、国民经济运行的供给推力与供给侧结构性改革</w:t>
      </w:r>
    </w:p>
    <w:p w14:paraId="1A9305A6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1.劳动力供给与国民经济运行</w:t>
      </w:r>
    </w:p>
    <w:p w14:paraId="154C6F80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2.资本积累与国民经济运行</w:t>
      </w:r>
    </w:p>
    <w:p w14:paraId="305E2BD6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3.土地等自然资源供给与国民经济运行</w:t>
      </w:r>
    </w:p>
    <w:p w14:paraId="27C47C46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4.技术进步与国民经济运行</w:t>
      </w:r>
    </w:p>
    <w:p w14:paraId="37E04081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5.制度供给与国民经济运行</w:t>
      </w:r>
    </w:p>
    <w:p w14:paraId="31175BBF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6.国民经济供给管理和供给侧结构性改革</w:t>
      </w:r>
    </w:p>
    <w:p w14:paraId="682781C8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九、国民经济运行的周期波动</w:t>
      </w:r>
    </w:p>
    <w:p w14:paraId="4EAAB5DD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1.国民经济运行中的周期波动</w:t>
      </w:r>
    </w:p>
    <w:p w14:paraId="060FC1D2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2.周期波动的形成原因及传导机制</w:t>
      </w:r>
    </w:p>
    <w:p w14:paraId="258B434C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3.通货膨胀与通货紧缩</w:t>
      </w:r>
    </w:p>
    <w:p w14:paraId="6AA18250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十、国民经济与社会发展战略</w:t>
      </w:r>
    </w:p>
    <w:p w14:paraId="511130BF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1.国民经济与社会发展战略的内涵、特征与功能</w:t>
      </w:r>
    </w:p>
    <w:p w14:paraId="1B87E8A1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2.国民经济发展战略体系与模式</w:t>
      </w:r>
    </w:p>
    <w:p w14:paraId="47F428C7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3.国民经济发展战略选择与制定</w:t>
      </w:r>
    </w:p>
    <w:p w14:paraId="7CCD2E49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4.新中国成立以来中国的主要发展战略</w:t>
      </w:r>
    </w:p>
    <w:p w14:paraId="6675981C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十一、国民经济规划</w:t>
      </w:r>
    </w:p>
    <w:p w14:paraId="48595219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1.国民经济规划的特征与功能</w:t>
      </w:r>
    </w:p>
    <w:p w14:paraId="25AF6073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2.国民经济规划体系</w:t>
      </w:r>
    </w:p>
    <w:p w14:paraId="5413EDAC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3.国民经济规划指标体系</w:t>
      </w:r>
    </w:p>
    <w:p w14:paraId="1B91CDC8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4.国民经济规划的编制</w:t>
      </w:r>
    </w:p>
    <w:p w14:paraId="43903385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十二、国民经济管理目标</w:t>
      </w:r>
    </w:p>
    <w:p w14:paraId="0E154232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1.国民经济长期稳定运行的一般目标</w:t>
      </w:r>
    </w:p>
    <w:p w14:paraId="60993993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2.国民经济全面协调可持续发展的目标</w:t>
      </w:r>
    </w:p>
    <w:p w14:paraId="7142AC31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3.国民经济管理的终极目标</w:t>
      </w:r>
    </w:p>
    <w:p w14:paraId="25D4D44E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十三、国民经济监测预警与综合评价</w:t>
      </w:r>
    </w:p>
    <w:p w14:paraId="70E17B97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1.国民经济监测与预警</w:t>
      </w:r>
    </w:p>
    <w:p w14:paraId="154F4618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2.国民经济监测预警系统及指标体系</w:t>
      </w:r>
    </w:p>
    <w:p w14:paraId="1D40D279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3.国民经济监测预警模型和方法</w:t>
      </w:r>
    </w:p>
    <w:p w14:paraId="5AD737EF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4.国民经济效益综合评价</w:t>
      </w:r>
    </w:p>
    <w:p w14:paraId="0D89ACB6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十四、国民经济宏观调控</w:t>
      </w:r>
    </w:p>
    <w:p w14:paraId="75B37045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1.宏观调控目标和合理区间</w:t>
      </w:r>
    </w:p>
    <w:p w14:paraId="7FE70312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2.宏观调控原理与手段</w:t>
      </w:r>
    </w:p>
    <w:p w14:paraId="5C6DBB0E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3.宏观调控政策与作用</w:t>
      </w:r>
    </w:p>
    <w:p w14:paraId="78ADE91D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4.创新和完善宏观调控方式</w:t>
      </w:r>
    </w:p>
    <w:p w14:paraId="42D5065B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5.宏观调控的制度保障</w:t>
      </w:r>
    </w:p>
    <w:p w14:paraId="01619E9D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十五、国民经济预期管理</w:t>
      </w:r>
    </w:p>
    <w:p w14:paraId="190EA070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1.国民经济预期管理与宏观经济调控</w:t>
      </w:r>
    </w:p>
    <w:p w14:paraId="612DB364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2.预期管理理论模型与方法</w:t>
      </w:r>
    </w:p>
    <w:p w14:paraId="3147EC57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3.我国预期管理体系的探索与发展</w:t>
      </w:r>
    </w:p>
    <w:p w14:paraId="2F42A211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十六、国有经济资产管理</w:t>
      </w:r>
    </w:p>
    <w:p w14:paraId="2A504590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1.国有资产管理在国民经济管理中的地位和作用</w:t>
      </w:r>
    </w:p>
    <w:p w14:paraId="6489618E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2.国有资产管理的主要方式和基本理论</w:t>
      </w:r>
    </w:p>
    <w:p w14:paraId="05705FED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3.我国国有资产管理体制的历史沿革及其改革</w:t>
      </w:r>
    </w:p>
    <w:p w14:paraId="431CCAAF">
      <w:pPr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十七、国民经济微观规制</w:t>
      </w:r>
    </w:p>
    <w:p w14:paraId="42986F45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1.微观规制及其分类</w:t>
      </w:r>
    </w:p>
    <w:p w14:paraId="6CF17FC8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2.经济性规制</w:t>
      </w:r>
    </w:p>
    <w:p w14:paraId="07C01412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3.社会性规制</w:t>
      </w:r>
    </w:p>
    <w:p w14:paraId="6ECEA61E">
      <w:pPr>
        <w:ind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hint="eastAsia" w:ascii="Times New Roman" w:hAnsi="Times New Roman" w:eastAsia="仿宋_GB2312"/>
          <w:sz w:val="28"/>
          <w:szCs w:val="28"/>
        </w:rPr>
        <w:t>4.微观规制体系和规制改革</w:t>
      </w:r>
    </w:p>
    <w:p w14:paraId="6EA7C5F6">
      <w:pPr>
        <w:rPr>
          <w:rFonts w:hint="eastAsia" w:ascii="仿宋" w:hAnsi="仿宋" w:eastAsia="仿宋"/>
          <w:sz w:val="28"/>
          <w:szCs w:val="28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77FCBB45-DF57-4FB4-BC74-E57BF8B86D6A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BCBF5D11-5E91-45B7-BCA5-6326F05E303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DB43D012-3290-4950-9947-8872304127E1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9B780996-DA48-418E-A0E7-345CD5D08C0F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D295F034-67DA-4C1A-AD92-AD86BF30769B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6" w:fontKey="{5DC961CF-F3CF-4A00-A91B-8E3D1A66B7C5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7" w:fontKey="{4CA49481-0203-4EAE-BCFE-F7C0A26E1626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8" w:fontKey="{64D96712-C6C9-417E-9ECD-39AAEE8113A6}"/>
  </w:font>
  <w:font w:name="WPSEMBED1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1AE76BF">
    <w:pPr>
      <w:pStyle w:val="3"/>
      <w:jc w:val="center"/>
    </w:pPr>
    <w:r>
      <w:pict>
        <v:shape id="_x0000_s3073" o:spid="_x0000_s3073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sdt>
                <w:sdtPr>
                  <w:id w:val="23461657"/>
                </w:sdtPr>
                <w:sdtContent>
                  <w:p w14:paraId="75B4FD0D">
                    <w:pPr>
                      <w:pStyle w:val="3"/>
                      <w:jc w:val="center"/>
                    </w:pPr>
                    <w:r>
                      <w:fldChar w:fldCharType="begin"/>
                    </w:r>
                    <w:r>
                      <w:instrText xml:space="preserve"> PAGE   \* MERGEFORMAT </w:instrText>
                    </w:r>
                    <w:r>
                      <w:fldChar w:fldCharType="separate"/>
                    </w:r>
                    <w:r>
                      <w:rPr>
                        <w:lang w:val="zh-CN"/>
                      </w:rPr>
                      <w:t>3</w:t>
                    </w:r>
                    <w:r>
                      <w:rPr>
                        <w:lang w:val="zh-CN"/>
                      </w:rPr>
                      <w:fldChar w:fldCharType="end"/>
                    </w:r>
                  </w:p>
                </w:sdtContent>
              </w:sdt>
              <w:p w14:paraId="7B5070A8"/>
            </w:txbxContent>
          </v:textbox>
        </v:shape>
      </w:pict>
    </w:r>
  </w:p>
  <w:p w14:paraId="77019483">
    <w:pPr>
      <w:pStyle w:val="3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1,3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WIzNjUwNmRkNWZmYjQwMjQ3NDVhNjk2OWQ3YzA0OGMifQ=="/>
  </w:docVars>
  <w:rsids>
    <w:rsidRoot w:val="00DB4BBB"/>
    <w:rsid w:val="00023171"/>
    <w:rsid w:val="000A7C95"/>
    <w:rsid w:val="00150125"/>
    <w:rsid w:val="001742A7"/>
    <w:rsid w:val="001936DB"/>
    <w:rsid w:val="001B767F"/>
    <w:rsid w:val="00224ADA"/>
    <w:rsid w:val="00246BB2"/>
    <w:rsid w:val="00263F26"/>
    <w:rsid w:val="00266F4D"/>
    <w:rsid w:val="00296C0B"/>
    <w:rsid w:val="002D0077"/>
    <w:rsid w:val="00386998"/>
    <w:rsid w:val="003A05E4"/>
    <w:rsid w:val="00404616"/>
    <w:rsid w:val="00464CBE"/>
    <w:rsid w:val="004A11AA"/>
    <w:rsid w:val="00545E5A"/>
    <w:rsid w:val="005C0A37"/>
    <w:rsid w:val="005C3D7D"/>
    <w:rsid w:val="005D02D2"/>
    <w:rsid w:val="006478A8"/>
    <w:rsid w:val="00680FE7"/>
    <w:rsid w:val="007210EE"/>
    <w:rsid w:val="00761A5F"/>
    <w:rsid w:val="00783254"/>
    <w:rsid w:val="00830A3A"/>
    <w:rsid w:val="008A34C5"/>
    <w:rsid w:val="008A5F4D"/>
    <w:rsid w:val="008B0629"/>
    <w:rsid w:val="008B65AB"/>
    <w:rsid w:val="008F37ED"/>
    <w:rsid w:val="0090107B"/>
    <w:rsid w:val="0094563B"/>
    <w:rsid w:val="00997B68"/>
    <w:rsid w:val="009B167F"/>
    <w:rsid w:val="009F527E"/>
    <w:rsid w:val="00A32B6A"/>
    <w:rsid w:val="00A963BA"/>
    <w:rsid w:val="00AB69FB"/>
    <w:rsid w:val="00B3784E"/>
    <w:rsid w:val="00B6039A"/>
    <w:rsid w:val="00B852E5"/>
    <w:rsid w:val="00B91F82"/>
    <w:rsid w:val="00BC32EF"/>
    <w:rsid w:val="00C3161D"/>
    <w:rsid w:val="00DB4BBB"/>
    <w:rsid w:val="00DC4472"/>
    <w:rsid w:val="00DF35CE"/>
    <w:rsid w:val="00E90EB7"/>
    <w:rsid w:val="00EC5E3A"/>
    <w:rsid w:val="00F44869"/>
    <w:rsid w:val="00FD6F42"/>
    <w:rsid w:val="00FE3ADE"/>
    <w:rsid w:val="0A86693C"/>
    <w:rsid w:val="208757D7"/>
    <w:rsid w:val="34AC3BA5"/>
    <w:rsid w:val="36B32C31"/>
    <w:rsid w:val="39B1357E"/>
    <w:rsid w:val="584601B1"/>
    <w:rsid w:val="5EAD7001"/>
    <w:rsid w:val="7282548D"/>
    <w:rsid w:val="73771240"/>
    <w:rsid w:val="788C4F8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字符"/>
    <w:basedOn w:val="6"/>
    <w:link w:val="4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3"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批注框文本 字符"/>
    <w:basedOn w:val="6"/>
    <w:link w:val="2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2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307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E5929EF-FA39-4215-A1C6-77D31BEC2F2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1038</Words>
  <Characters>1104</Characters>
  <Lines>8</Lines>
  <Paragraphs>2</Paragraphs>
  <TotalTime>7</TotalTime>
  <ScaleCrop>false</ScaleCrop>
  <LinksUpToDate>false</LinksUpToDate>
  <CharactersWithSpaces>1104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2016-09-11T08:23:00Z</dcterms:created>
  <dc:creator>Microsoft</dc:creator>
  <cp:lastModifiedBy>夭桃秾李</cp:lastModifiedBy>
  <dcterms:modified xsi:type="dcterms:W3CDTF">2025-11-20T09:02:37Z</dcterms:modified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3038150605C34088967D6F6AA5C868BF</vt:lpwstr>
  </property>
  <property fmtid="{D5CDD505-2E9C-101B-9397-08002B2CF9AE}" pid="4" name="KSOTemplateDocerSaveRecord">
    <vt:lpwstr>eyJoZGlkIjoiOWIzNjUwNmRkNWZmYjQwMjQ3NDVhNjk2OWQ3YzA0OGMiLCJ1c2VySWQiOiI0NTQyODk4MjgifQ==</vt:lpwstr>
  </property>
</Properties>
</file>